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72" w:rsidRPr="00745345" w:rsidRDefault="00745345" w:rsidP="00745345">
      <w:pPr>
        <w:pStyle w:val="Title"/>
      </w:pPr>
      <w:r w:rsidRPr="00745345">
        <w:t>Κανόνες και οδηγίες για την εκπόνηση διπλωματικής εργασίας</w:t>
      </w:r>
    </w:p>
    <w:p w:rsidR="00A04C72" w:rsidRPr="00745345" w:rsidRDefault="002C3897" w:rsidP="002C3897">
      <w:pPr>
        <w:pStyle w:val="Subtitle"/>
        <w:jc w:val="center"/>
      </w:pPr>
      <w:r>
        <w:t>Π. Βασιλειάδης</w:t>
      </w:r>
    </w:p>
    <w:p w:rsidR="00A04C72" w:rsidRPr="00745345" w:rsidRDefault="004E5910" w:rsidP="00745345">
      <w:pPr>
        <w:pStyle w:val="Heading1"/>
        <w:rPr>
          <w:lang w:val="en-US"/>
        </w:rPr>
      </w:pPr>
      <w:r w:rsidRPr="00745345">
        <w:t xml:space="preserve">Κανόνες </w:t>
      </w:r>
      <w:r w:rsidR="00745345">
        <w:t>(</w:t>
      </w:r>
      <w:r w:rsidR="005C33E4">
        <w:t xml:space="preserve">από τον Οδηγό Σπουδών </w:t>
      </w:r>
      <w:r w:rsidR="00745345">
        <w:t>2013-2014)</w:t>
      </w:r>
    </w:p>
    <w:p w:rsidR="00745345" w:rsidRDefault="00745345" w:rsidP="00745345">
      <w:pPr>
        <w:rPr>
          <w:rFonts w:eastAsia="Wingdings-Regular"/>
          <w:lang w:val="en-US"/>
        </w:rPr>
      </w:pPr>
      <w:r w:rsidRPr="00745345">
        <w:t>Στο 10ο εξάμηνο των σπουδών τους, οι φοιτητές εκπονούν διπλωματική εργασία υπό την</w:t>
      </w:r>
      <w:r>
        <w:t xml:space="preserve"> </w:t>
      </w:r>
      <w:r w:rsidRPr="00745345">
        <w:t>επίβλεψη ενός μέλους του διδακτικού προσωπικού του Τμήματος. Οι κανόνες που διέπουν</w:t>
      </w:r>
      <w:r>
        <w:t xml:space="preserve"> </w:t>
      </w:r>
      <w:r w:rsidRPr="00745345">
        <w:t>τη διαδικασία εκπόνησης διπλωματικής εργασίας περιγράφονται στη συνέχεια.</w:t>
      </w:r>
      <w:r>
        <w:t xml:space="preserve"> </w:t>
      </w:r>
    </w:p>
    <w:p w:rsidR="00745345" w:rsidRDefault="00745345" w:rsidP="00745345">
      <w:pPr>
        <w:numPr>
          <w:ilvl w:val="0"/>
          <w:numId w:val="18"/>
        </w:numPr>
        <w:rPr>
          <w:lang w:val="en-US"/>
        </w:rPr>
      </w:pPr>
      <w:r w:rsidRPr="00745345">
        <w:t>Η Διπλωματική Εργασία έχει ελάχιστη διάρκεια ενός ακαδημαϊκού εξαμήνου και</w:t>
      </w:r>
      <w:r>
        <w:t xml:space="preserve"> </w:t>
      </w:r>
      <w:r w:rsidRPr="00745345">
        <w:t>μέγιστη διάρκεια δύο ακαδημαϊκά εξάμηνα, δηλαδή η σχετική εξέταση γίνεται το</w:t>
      </w:r>
      <w:r>
        <w:t xml:space="preserve"> </w:t>
      </w:r>
      <w:r w:rsidRPr="00745345">
        <w:t>αργότερο στο τέλος του δεύτερου εξαμήνου μετά την αρχική δήλωσή της. Η</w:t>
      </w:r>
      <w:r>
        <w:t xml:space="preserve"> </w:t>
      </w:r>
      <w:r w:rsidRPr="00745345">
        <w:t>εξέταση γίνεται το αργότερο 3 εβδομάδες μετά τη λήξη των εξετάσεων</w:t>
      </w:r>
      <w:r>
        <w:t xml:space="preserve"> </w:t>
      </w:r>
      <w:r w:rsidRPr="00745345">
        <w:t>συμπεριλαμβανομένης της εξεταστικής Σεπτεμβρίου στην περίπτωση του εαρινού</w:t>
      </w:r>
      <w:r>
        <w:t xml:space="preserve"> </w:t>
      </w:r>
      <w:r w:rsidRPr="00745345">
        <w:t>εξαμήνου.</w:t>
      </w:r>
      <w:r>
        <w:t xml:space="preserve"> </w:t>
      </w:r>
    </w:p>
    <w:p w:rsidR="00745345" w:rsidRDefault="00745345" w:rsidP="00745345">
      <w:pPr>
        <w:numPr>
          <w:ilvl w:val="0"/>
          <w:numId w:val="18"/>
        </w:numPr>
        <w:rPr>
          <w:lang w:val="en-US"/>
        </w:rPr>
      </w:pPr>
      <w:r w:rsidRPr="00745345">
        <w:t>Σε περίπτωση μη εξέτασης της διπλωματικής εργασίας σε ένα εξάμηνο, η δήλωση</w:t>
      </w:r>
      <w:r>
        <w:t xml:space="preserve"> </w:t>
      </w:r>
      <w:r w:rsidRPr="00745345">
        <w:t>διπλωματικής εργασίας ανανεώνεται υποχρεωτικά για ένα ακόμα εξάμηνο. Σε</w:t>
      </w:r>
      <w:r>
        <w:t xml:space="preserve"> </w:t>
      </w:r>
      <w:r w:rsidRPr="00745345">
        <w:t>περίπτωση ανεπιτυχούς εξέτασης γίνεται εκ νέου δήλωση.</w:t>
      </w:r>
      <w:r>
        <w:t xml:space="preserve"> </w:t>
      </w:r>
    </w:p>
    <w:p w:rsidR="00745345" w:rsidRDefault="00745345" w:rsidP="00745345">
      <w:pPr>
        <w:numPr>
          <w:ilvl w:val="0"/>
          <w:numId w:val="18"/>
        </w:numPr>
        <w:rPr>
          <w:lang w:val="en-US"/>
        </w:rPr>
      </w:pPr>
      <w:r w:rsidRPr="00745345">
        <w:t>Τα προτεινόμενα θέματα Διπλωματικών Εργασιών ανακοινώνονται μέχρι το τέλος</w:t>
      </w:r>
      <w:r>
        <w:t xml:space="preserve"> </w:t>
      </w:r>
      <w:r w:rsidRPr="00745345">
        <w:t>Δεκεμβρίου για δηλώσεις εαρινού εξαμήνου και μέχρι το τέλος Μαΐου για δηλώσεις</w:t>
      </w:r>
      <w:r>
        <w:t xml:space="preserve"> </w:t>
      </w:r>
      <w:r w:rsidRPr="00745345">
        <w:t>χειμερινού εξαμήνου.</w:t>
      </w:r>
      <w:r>
        <w:t xml:space="preserve"> </w:t>
      </w:r>
      <w:r w:rsidRPr="00745345">
        <w:rPr>
          <w:rFonts w:eastAsia="Wingdings-Regular"/>
        </w:rPr>
        <w:t xml:space="preserve"> </w:t>
      </w:r>
      <w:r w:rsidRPr="00745345">
        <w:t>Για την εκπόνηση της διπλωματικής εργασίας είναι δυνατόν, κατά την κρίση του</w:t>
      </w:r>
      <w:r>
        <w:t xml:space="preserve"> </w:t>
      </w:r>
      <w:r w:rsidRPr="00745345">
        <w:t>επιβλέποντος, να συνεργασθούν δύο φοιτητές.</w:t>
      </w:r>
      <w:r>
        <w:t xml:space="preserve"> </w:t>
      </w:r>
    </w:p>
    <w:p w:rsidR="00745345" w:rsidRDefault="00745345" w:rsidP="00745345">
      <w:pPr>
        <w:numPr>
          <w:ilvl w:val="0"/>
          <w:numId w:val="18"/>
        </w:numPr>
        <w:rPr>
          <w:lang w:val="en-US"/>
        </w:rPr>
      </w:pPr>
      <w:r w:rsidRPr="00745345">
        <w:t>H διπλωματική εργασία εξετάζεται και βαθμολογείται από τριμελή επιτροπή</w:t>
      </w:r>
      <w:r>
        <w:t xml:space="preserve"> </w:t>
      </w:r>
      <w:r w:rsidRPr="00745345">
        <w:t>διδασκόντων στην οποία συμμετέχει υποχρεωτικά ο επιβλέπων.</w:t>
      </w:r>
      <w:r>
        <w:t xml:space="preserve"> </w:t>
      </w:r>
    </w:p>
    <w:p w:rsidR="00745345" w:rsidRPr="00745345" w:rsidRDefault="00745345" w:rsidP="00745345">
      <w:pPr>
        <w:numPr>
          <w:ilvl w:val="0"/>
          <w:numId w:val="18"/>
        </w:numPr>
        <w:rPr>
          <w:lang w:val="en-US"/>
        </w:rPr>
      </w:pPr>
      <w:r w:rsidRPr="00745345">
        <w:t>Οι φοιτητές που εκπονούν διπλωματική εργασία πρέπει να παρουσιάσουν τα</w:t>
      </w:r>
      <w:r>
        <w:t xml:space="preserve"> </w:t>
      </w:r>
      <w:r w:rsidRPr="00745345">
        <w:t>αποτελέσματα της εργασίας τους σε μια διάλεξη. Την παρουσίαση μπορεί να την</w:t>
      </w:r>
      <w:r>
        <w:t xml:space="preserve"> </w:t>
      </w:r>
      <w:r w:rsidRPr="00745345">
        <w:t>παρακολουθήσει κάθε ενδιαφερόμενος.</w:t>
      </w:r>
      <w:r>
        <w:t xml:space="preserve"> </w:t>
      </w:r>
    </w:p>
    <w:p w:rsidR="00745345" w:rsidRDefault="00745345" w:rsidP="00745345">
      <w:pPr>
        <w:numPr>
          <w:ilvl w:val="0"/>
          <w:numId w:val="18"/>
        </w:numPr>
        <w:rPr>
          <w:lang w:val="en-US"/>
        </w:rPr>
      </w:pPr>
      <w:r w:rsidRPr="00745345">
        <w:t>Οι φοιτητές που εκπονούν διπλωματική εργασία πρέπει να παραδώσουν γραπτή</w:t>
      </w:r>
      <w:r>
        <w:t xml:space="preserve"> </w:t>
      </w:r>
      <w:r w:rsidRPr="00745345">
        <w:t>διατριβή, ηλεκτρονικό αντίγραφο της οποίας πρέπει να καταθέσουν στη Γραμματεία</w:t>
      </w:r>
      <w:r>
        <w:t xml:space="preserve"> </w:t>
      </w:r>
      <w:r w:rsidRPr="00745345">
        <w:t>μετά την επιτυχή παρουσίαση της εργασίας τους.</w:t>
      </w:r>
      <w:r>
        <w:t xml:space="preserve"> </w:t>
      </w:r>
    </w:p>
    <w:p w:rsidR="00745345" w:rsidRDefault="00745345" w:rsidP="00745345">
      <w:pPr>
        <w:numPr>
          <w:ilvl w:val="0"/>
          <w:numId w:val="18"/>
        </w:numPr>
        <w:rPr>
          <w:lang w:val="en-US"/>
        </w:rPr>
      </w:pPr>
      <w:r w:rsidRPr="00745345">
        <w:t>Στη διπλωματική εργασία αντιστοιχούν τριάντα (30) διδακτικές μονάδες.</w:t>
      </w:r>
      <w:r>
        <w:t xml:space="preserve"> </w:t>
      </w:r>
    </w:p>
    <w:p w:rsidR="004B797A" w:rsidRDefault="004B797A" w:rsidP="00745345">
      <w:pPr>
        <w:rPr>
          <w:lang w:val="en-US"/>
        </w:rPr>
      </w:pPr>
    </w:p>
    <w:p w:rsidR="00745345" w:rsidRDefault="00745345" w:rsidP="00745345">
      <w:pPr>
        <w:rPr>
          <w:lang w:val="en-US"/>
        </w:rPr>
      </w:pPr>
      <w:r w:rsidRPr="00745345">
        <w:t>Για την διπλωματική εργασία ισχύουν επίσης οι παρακάτω χρονικοί περιορισμοί:</w:t>
      </w:r>
      <w:r>
        <w:t xml:space="preserve"> </w:t>
      </w:r>
    </w:p>
    <w:p w:rsidR="00745345" w:rsidRDefault="00745345" w:rsidP="00745345">
      <w:pPr>
        <w:numPr>
          <w:ilvl w:val="0"/>
          <w:numId w:val="15"/>
        </w:numPr>
        <w:rPr>
          <w:lang w:val="en-US"/>
        </w:rPr>
      </w:pPr>
      <w:r w:rsidRPr="00745345">
        <w:t>H τριμελής επιτροπή εξέτασης θα πρέπει να έχει ορισθεί πριν την λήξη της εξεταστικής</w:t>
      </w:r>
      <w:r>
        <w:t xml:space="preserve"> </w:t>
      </w:r>
      <w:r w:rsidRPr="00745345">
        <w:t>περιόδου.</w:t>
      </w:r>
    </w:p>
    <w:p w:rsidR="00745345" w:rsidRDefault="00745345" w:rsidP="00745345">
      <w:pPr>
        <w:numPr>
          <w:ilvl w:val="0"/>
          <w:numId w:val="15"/>
        </w:numPr>
        <w:rPr>
          <w:lang w:val="en-US"/>
        </w:rPr>
      </w:pPr>
      <w:r w:rsidRPr="00745345">
        <w:t>φοιτητής θα πρέπει να καταθέσει στην τριμελή επιτροπή του τη γραπτή διατριβή του</w:t>
      </w:r>
      <w:r>
        <w:t xml:space="preserve"> </w:t>
      </w:r>
      <w:r w:rsidRPr="00745345">
        <w:t>τουλάχιστον 10 ημέρες πριν την ημερομηνία παρουσίασης.</w:t>
      </w:r>
      <w:r>
        <w:t xml:space="preserve"> </w:t>
      </w:r>
    </w:p>
    <w:p w:rsidR="001D4051" w:rsidRDefault="001D4051">
      <w:pPr>
        <w:spacing w:before="0" w:after="0"/>
        <w:jc w:val="left"/>
        <w:rPr>
          <w:lang w:val="en-US"/>
        </w:rPr>
      </w:pPr>
      <w:r>
        <w:rPr>
          <w:lang w:val="en-US"/>
        </w:rPr>
        <w:br w:type="page"/>
      </w:r>
    </w:p>
    <w:p w:rsidR="001D4051" w:rsidRPr="00745345" w:rsidRDefault="001D4051" w:rsidP="001D4051">
      <w:pPr>
        <w:rPr>
          <w:lang w:val="en-US"/>
        </w:rPr>
      </w:pPr>
    </w:p>
    <w:p w:rsidR="00A04C72" w:rsidRPr="005C33E4" w:rsidRDefault="00745345" w:rsidP="002C3897">
      <w:pPr>
        <w:pStyle w:val="Heading1"/>
      </w:pPr>
      <w:r>
        <w:t xml:space="preserve">Επιπλέον </w:t>
      </w:r>
      <w:r w:rsidR="002C3897">
        <w:t>υ</w:t>
      </w:r>
      <w:r w:rsidR="00A04C72" w:rsidRPr="00745345">
        <w:t>ποχρεώσεις</w:t>
      </w:r>
      <w:r>
        <w:rPr>
          <w:lang w:val="en-US"/>
        </w:rPr>
        <w:t xml:space="preserve"> </w:t>
      </w:r>
      <w:r w:rsidR="005C33E4">
        <w:t>απορρέουσες από τον υπογράφοντα</w:t>
      </w:r>
    </w:p>
    <w:p w:rsidR="00A04C72" w:rsidRPr="00745345" w:rsidRDefault="00745345">
      <w:r>
        <w:t>Μ</w:t>
      </w:r>
      <w:r w:rsidR="00A04C72" w:rsidRPr="00745345">
        <w:t xml:space="preserve">ετά τη τελική εξέταση πρέπει να </w:t>
      </w:r>
      <w:r w:rsidR="002C3897" w:rsidRPr="002C3897">
        <w:t>ετοιμάσετε</w:t>
      </w:r>
      <w:r w:rsidR="00F72EED" w:rsidRPr="00745345">
        <w:t>:</w:t>
      </w:r>
    </w:p>
    <w:p w:rsidR="00A04C72" w:rsidRPr="00745345" w:rsidRDefault="00A04C72">
      <w:pPr>
        <w:numPr>
          <w:ilvl w:val="0"/>
          <w:numId w:val="12"/>
        </w:numPr>
        <w:spacing w:after="0"/>
      </w:pPr>
      <w:r w:rsidRPr="00745345">
        <w:t xml:space="preserve">2 </w:t>
      </w:r>
      <w:r w:rsidR="002C3897">
        <w:t>εκτυπώσεις</w:t>
      </w:r>
      <w:r w:rsidRPr="00745345">
        <w:t xml:space="preserve"> της εργασίας</w:t>
      </w:r>
      <w:r w:rsidR="00F72EED" w:rsidRPr="00745345">
        <w:t xml:space="preserve"> [για τη βιβλιοθήκη του </w:t>
      </w:r>
      <w:r w:rsidR="002C3897">
        <w:t>εργαστηρίου</w:t>
      </w:r>
      <w:r w:rsidR="00F72EED" w:rsidRPr="00745345">
        <w:t xml:space="preserve"> και τον επιβλέποντα]</w:t>
      </w:r>
    </w:p>
    <w:p w:rsidR="002C3897" w:rsidRPr="00745345" w:rsidRDefault="002C3897" w:rsidP="002C3897">
      <w:pPr>
        <w:numPr>
          <w:ilvl w:val="0"/>
          <w:numId w:val="12"/>
        </w:numPr>
        <w:spacing w:after="0"/>
      </w:pPr>
      <w:r>
        <w:rPr>
          <w:lang w:val="en-US"/>
        </w:rPr>
        <w:t>DVD</w:t>
      </w:r>
      <w:r w:rsidRPr="00745345">
        <w:t xml:space="preserve"> με</w:t>
      </w:r>
      <w:r>
        <w:t xml:space="preserve"> το κείμενο της διπλωματικής για τη βιβλιοθήκη του Πανεπιστημίου</w:t>
      </w:r>
    </w:p>
    <w:p w:rsidR="00A04C72" w:rsidRPr="00745345" w:rsidRDefault="00745345">
      <w:pPr>
        <w:numPr>
          <w:ilvl w:val="0"/>
          <w:numId w:val="12"/>
        </w:numPr>
        <w:spacing w:after="0"/>
      </w:pPr>
      <w:r>
        <w:rPr>
          <w:lang w:val="en-US"/>
        </w:rPr>
        <w:t>DVD</w:t>
      </w:r>
      <w:r w:rsidR="00A04C72" w:rsidRPr="00745345">
        <w:t xml:space="preserve"> </w:t>
      </w:r>
      <w:r w:rsidR="002C3897">
        <w:t xml:space="preserve">για τον επιβλέποντα, </w:t>
      </w:r>
      <w:r w:rsidR="00A04C72" w:rsidRPr="00745345">
        <w:t>με</w:t>
      </w:r>
    </w:p>
    <w:p w:rsidR="00A04C72" w:rsidRPr="00745345" w:rsidRDefault="00A04C72">
      <w:pPr>
        <w:numPr>
          <w:ilvl w:val="1"/>
          <w:numId w:val="12"/>
        </w:numPr>
        <w:spacing w:after="0"/>
      </w:pPr>
      <w:r w:rsidRPr="00745345">
        <w:t xml:space="preserve">Λογισμικό </w:t>
      </w:r>
    </w:p>
    <w:p w:rsidR="00745345" w:rsidRPr="00745345" w:rsidRDefault="00745345">
      <w:pPr>
        <w:numPr>
          <w:ilvl w:val="1"/>
          <w:numId w:val="12"/>
        </w:numPr>
        <w:spacing w:after="0"/>
      </w:pPr>
      <w:r>
        <w:t>Ότι δεδομένα χρησιμοποιήθηκαν</w:t>
      </w:r>
    </w:p>
    <w:p w:rsidR="00A04C72" w:rsidRPr="00745345" w:rsidRDefault="00A04C72">
      <w:pPr>
        <w:numPr>
          <w:ilvl w:val="1"/>
          <w:numId w:val="12"/>
        </w:numPr>
        <w:spacing w:after="0"/>
      </w:pPr>
      <w:r w:rsidRPr="00745345">
        <w:t xml:space="preserve">Κείμενο </w:t>
      </w:r>
      <w:r w:rsidR="00201043" w:rsidRPr="00745345">
        <w:t>πτυχιακή</w:t>
      </w:r>
      <w:r w:rsidRPr="00745345">
        <w:t>ς</w:t>
      </w:r>
    </w:p>
    <w:p w:rsidR="00A04C72" w:rsidRDefault="00A04C72" w:rsidP="00745345">
      <w:pPr>
        <w:numPr>
          <w:ilvl w:val="1"/>
          <w:numId w:val="12"/>
        </w:numPr>
        <w:spacing w:after="0"/>
      </w:pPr>
      <w:r w:rsidRPr="00745345">
        <w:t>Διαφάνειες παρουσίασης</w:t>
      </w:r>
    </w:p>
    <w:p w:rsidR="002C3897" w:rsidRPr="00745345" w:rsidRDefault="002C3897" w:rsidP="00745345">
      <w:pPr>
        <w:numPr>
          <w:ilvl w:val="1"/>
          <w:numId w:val="12"/>
        </w:numPr>
        <w:spacing w:after="0"/>
      </w:pPr>
      <w:r>
        <w:t>… όποιο άλλο υλικό κριθεί αναγκαίο …</w:t>
      </w:r>
    </w:p>
    <w:p w:rsidR="00A04C72" w:rsidRDefault="00A04C72"/>
    <w:p w:rsidR="002C3897" w:rsidRPr="002C3897" w:rsidRDefault="002C3897"/>
    <w:p w:rsidR="00A04C72" w:rsidRPr="00745345" w:rsidRDefault="00A04C72" w:rsidP="002C3897">
      <w:pPr>
        <w:pStyle w:val="Heading1"/>
      </w:pPr>
      <w:r w:rsidRPr="00745345">
        <w:t xml:space="preserve">Οδηγίες: Πώς να γράψετε το κείμενο της </w:t>
      </w:r>
      <w:r w:rsidR="00201043" w:rsidRPr="00745345">
        <w:t>πτυχιακή</w:t>
      </w:r>
      <w:r w:rsidRPr="00745345">
        <w:t>ς….</w:t>
      </w:r>
    </w:p>
    <w:p w:rsidR="00A04C72" w:rsidRPr="00745345" w:rsidRDefault="00A04C72">
      <w:pPr>
        <w:rPr>
          <w:lang w:val="en-US"/>
        </w:rPr>
      </w:pPr>
      <w:r w:rsidRPr="00745345">
        <w:t xml:space="preserve">Χρησιμοποιείστε </w:t>
      </w:r>
      <w:proofErr w:type="spellStart"/>
      <w:r w:rsidR="00201043" w:rsidRPr="00745345">
        <w:rPr>
          <w:lang w:val="en-US"/>
        </w:rPr>
        <w:t>το</w:t>
      </w:r>
      <w:proofErr w:type="spellEnd"/>
      <w:r w:rsidR="00201043" w:rsidRPr="00745345">
        <w:rPr>
          <w:lang w:val="en-US"/>
        </w:rPr>
        <w:t xml:space="preserve"> </w:t>
      </w:r>
      <w:proofErr w:type="spellStart"/>
      <w:r w:rsidR="00201043" w:rsidRPr="00745345">
        <w:rPr>
          <w:lang w:val="en-US"/>
        </w:rPr>
        <w:t>αρχε</w:t>
      </w:r>
      <w:proofErr w:type="spellEnd"/>
      <w:r w:rsidR="00201043" w:rsidRPr="00745345">
        <w:t>ίο</w:t>
      </w:r>
      <w:r w:rsidRPr="00745345">
        <w:t xml:space="preserve"> </w:t>
      </w:r>
      <w:r w:rsidRPr="00745345">
        <w:rPr>
          <w:lang w:val="en-US"/>
        </w:rPr>
        <w:t>template</w:t>
      </w:r>
      <w:r w:rsidRPr="00745345">
        <w:t>_</w:t>
      </w:r>
      <w:proofErr w:type="spellStart"/>
      <w:r w:rsidR="002C3897">
        <w:rPr>
          <w:lang w:val="en-US"/>
        </w:rPr>
        <w:t>Diploma_CSE_UoI</w:t>
      </w:r>
      <w:proofErr w:type="spellEnd"/>
      <w:r w:rsidRPr="00745345">
        <w:t xml:space="preserve">. </w:t>
      </w:r>
      <w:r w:rsidRPr="00745345">
        <w:rPr>
          <w:u w:val="single"/>
        </w:rPr>
        <w:t>Μην αλλάξετε</w:t>
      </w:r>
      <w:r w:rsidRPr="00745345">
        <w:t xml:space="preserve"> κανένα από τα </w:t>
      </w:r>
      <w:r w:rsidRPr="00745345">
        <w:rPr>
          <w:lang w:val="en-US"/>
        </w:rPr>
        <w:t>styles</w:t>
      </w:r>
      <w:r w:rsidRPr="00745345">
        <w:t xml:space="preserve"> που υπάρχουν στο κείμενο. </w:t>
      </w:r>
      <w:proofErr w:type="spellStart"/>
      <w:r w:rsidRPr="00745345">
        <w:t>Προσπαθείστε</w:t>
      </w:r>
      <w:proofErr w:type="spellEnd"/>
      <w:r w:rsidRPr="00745345">
        <w:t xml:space="preserve"> να ορίσετε όσο το δυνατό λιγότερα νέα </w:t>
      </w:r>
      <w:r w:rsidRPr="00745345">
        <w:rPr>
          <w:lang w:val="en-US"/>
        </w:rPr>
        <w:t>styles</w:t>
      </w:r>
      <w:r w:rsidRPr="00745345">
        <w:t xml:space="preserve">. Πιστεύουμε ότι στην γενική περίπτωση δεν θα χρειαστεί να ορίσετε κανένα νέο </w:t>
      </w:r>
      <w:r w:rsidRPr="00745345">
        <w:rPr>
          <w:lang w:val="en-US"/>
        </w:rPr>
        <w:t>style</w:t>
      </w:r>
      <w:r w:rsidRPr="00745345">
        <w:t xml:space="preserve">. </w:t>
      </w:r>
    </w:p>
    <w:p w:rsidR="00A04C72" w:rsidRPr="00745345" w:rsidRDefault="00A04C72">
      <w:r w:rsidRPr="00745345">
        <w:t xml:space="preserve">Ακολουθούν αναλυτικές οδηγίες... </w:t>
      </w:r>
    </w:p>
    <w:p w:rsidR="00A04C72" w:rsidRPr="00745345" w:rsidRDefault="00A04C72">
      <w:pPr>
        <w:numPr>
          <w:ilvl w:val="0"/>
          <w:numId w:val="9"/>
        </w:numPr>
      </w:pPr>
      <w:r w:rsidRPr="00745345">
        <w:t xml:space="preserve">Τα κεφάλαια είναι ΠΑΝΤΑ </w:t>
      </w:r>
      <w:proofErr w:type="spellStart"/>
      <w:r w:rsidRPr="00745345">
        <w:rPr>
          <w:b/>
          <w:kern w:val="28"/>
          <w:sz w:val="44"/>
          <w:szCs w:val="44"/>
        </w:rPr>
        <w:t>Heading</w:t>
      </w:r>
      <w:proofErr w:type="spellEnd"/>
      <w:r w:rsidRPr="00745345">
        <w:rPr>
          <w:b/>
          <w:kern w:val="28"/>
          <w:sz w:val="44"/>
          <w:szCs w:val="44"/>
        </w:rPr>
        <w:t xml:space="preserve"> 1</w:t>
      </w:r>
      <w:r w:rsidRPr="00745345">
        <w:t xml:space="preserve"> (</w:t>
      </w:r>
      <w:r w:rsidR="00745345">
        <w:rPr>
          <w:lang w:val="en-US"/>
        </w:rPr>
        <w:t>Cambria</w:t>
      </w:r>
      <w:r w:rsidRPr="00745345">
        <w:t xml:space="preserve"> 2</w:t>
      </w:r>
      <w:proofErr w:type="spellStart"/>
      <w:r w:rsidR="00745345">
        <w:rPr>
          <w:lang w:val="en-US"/>
        </w:rPr>
        <w:t>2</w:t>
      </w:r>
      <w:proofErr w:type="spellEnd"/>
      <w:r w:rsidRPr="00745345">
        <w:t>+</w:t>
      </w:r>
      <w:r w:rsidRPr="00745345">
        <w:rPr>
          <w:lang w:val="en-US"/>
        </w:rPr>
        <w:t>bold</w:t>
      </w:r>
      <w:r w:rsidRPr="00745345">
        <w:t xml:space="preserve">). </w:t>
      </w:r>
    </w:p>
    <w:p w:rsidR="00A04C72" w:rsidRPr="00745345" w:rsidRDefault="00A04C72">
      <w:pPr>
        <w:numPr>
          <w:ilvl w:val="0"/>
          <w:numId w:val="9"/>
        </w:numPr>
      </w:pPr>
      <w:r w:rsidRPr="00745345">
        <w:t xml:space="preserve">Οι ενότητες είναι ΠΑΝΤΑ </w:t>
      </w:r>
      <w:proofErr w:type="spellStart"/>
      <w:r w:rsidRPr="00745345">
        <w:rPr>
          <w:b/>
          <w:iCs/>
          <w:kern w:val="28"/>
          <w:sz w:val="32"/>
        </w:rPr>
        <w:t>Heading</w:t>
      </w:r>
      <w:proofErr w:type="spellEnd"/>
      <w:r w:rsidRPr="00745345">
        <w:rPr>
          <w:b/>
          <w:iCs/>
          <w:kern w:val="28"/>
          <w:sz w:val="32"/>
        </w:rPr>
        <w:t xml:space="preserve"> 2</w:t>
      </w:r>
      <w:r w:rsidRPr="00745345">
        <w:t xml:space="preserve"> (</w:t>
      </w:r>
      <w:r w:rsidR="00745345">
        <w:rPr>
          <w:lang w:val="en-US"/>
        </w:rPr>
        <w:t>Cambria</w:t>
      </w:r>
      <w:r w:rsidRPr="00745345">
        <w:t xml:space="preserve"> 16+</w:t>
      </w:r>
      <w:r w:rsidRPr="00745345">
        <w:rPr>
          <w:lang w:val="en-US"/>
        </w:rPr>
        <w:t>bold</w:t>
      </w:r>
      <w:r w:rsidRPr="00745345">
        <w:t>).</w:t>
      </w:r>
    </w:p>
    <w:p w:rsidR="00A04C72" w:rsidRPr="00745345" w:rsidRDefault="00A04C72">
      <w:pPr>
        <w:numPr>
          <w:ilvl w:val="0"/>
          <w:numId w:val="9"/>
        </w:numPr>
      </w:pPr>
      <w:r w:rsidRPr="00745345">
        <w:t xml:space="preserve">Οι </w:t>
      </w:r>
      <w:proofErr w:type="spellStart"/>
      <w:r w:rsidRPr="00745345">
        <w:t>υπο</w:t>
      </w:r>
      <w:proofErr w:type="spellEnd"/>
      <w:r w:rsidRPr="00745345">
        <w:t xml:space="preserve">-ενότητες είναι ΠΑΝΤΑ </w:t>
      </w:r>
      <w:proofErr w:type="spellStart"/>
      <w:r w:rsidRPr="00745345">
        <w:rPr>
          <w:b/>
          <w:iCs/>
          <w:kern w:val="28"/>
        </w:rPr>
        <w:t>Heading</w:t>
      </w:r>
      <w:proofErr w:type="spellEnd"/>
      <w:r w:rsidRPr="00745345">
        <w:rPr>
          <w:b/>
          <w:iCs/>
          <w:kern w:val="28"/>
        </w:rPr>
        <w:t xml:space="preserve"> 3</w:t>
      </w:r>
      <w:r w:rsidRPr="00745345">
        <w:t xml:space="preserve"> (</w:t>
      </w:r>
      <w:r w:rsidR="00745345">
        <w:rPr>
          <w:lang w:val="en-US"/>
        </w:rPr>
        <w:t>Cambria</w:t>
      </w:r>
      <w:r w:rsidRPr="00745345">
        <w:t xml:space="preserve"> 12+</w:t>
      </w:r>
      <w:r w:rsidRPr="00745345">
        <w:rPr>
          <w:lang w:val="en-US"/>
        </w:rPr>
        <w:t>bold</w:t>
      </w:r>
      <w:r w:rsidRPr="00745345">
        <w:t>).</w:t>
      </w:r>
    </w:p>
    <w:p w:rsidR="00A04C72" w:rsidRPr="00745345" w:rsidRDefault="00A04C72">
      <w:pPr>
        <w:numPr>
          <w:ilvl w:val="0"/>
          <w:numId w:val="9"/>
        </w:numPr>
      </w:pPr>
      <w:r w:rsidRPr="00745345">
        <w:t xml:space="preserve">Οι </w:t>
      </w:r>
      <w:proofErr w:type="spellStart"/>
      <w:r w:rsidRPr="00745345">
        <w:t>υπο</w:t>
      </w:r>
      <w:proofErr w:type="spellEnd"/>
      <w:r w:rsidRPr="00745345">
        <w:t>-</w:t>
      </w:r>
      <w:proofErr w:type="spellStart"/>
      <w:r w:rsidRPr="00745345">
        <w:t>υπο</w:t>
      </w:r>
      <w:proofErr w:type="spellEnd"/>
      <w:r w:rsidRPr="00745345">
        <w:t xml:space="preserve">-ενότητες είναι ΠΑΝΤΑ </w:t>
      </w:r>
      <w:proofErr w:type="spellStart"/>
      <w:r w:rsidRPr="00745345">
        <w:rPr>
          <w:iCs/>
          <w:kern w:val="28"/>
        </w:rPr>
        <w:t>Heading</w:t>
      </w:r>
      <w:proofErr w:type="spellEnd"/>
      <w:r w:rsidRPr="00745345">
        <w:rPr>
          <w:iCs/>
          <w:kern w:val="28"/>
        </w:rPr>
        <w:t xml:space="preserve"> 4</w:t>
      </w:r>
      <w:r w:rsidRPr="00745345">
        <w:t xml:space="preserve"> (</w:t>
      </w:r>
      <w:r w:rsidR="00745345">
        <w:rPr>
          <w:lang w:val="en-US"/>
        </w:rPr>
        <w:t>Cambria</w:t>
      </w:r>
      <w:r w:rsidRPr="00745345">
        <w:t xml:space="preserve"> 12).</w:t>
      </w:r>
    </w:p>
    <w:p w:rsidR="00A04C72" w:rsidRPr="00745345" w:rsidRDefault="00A04C72">
      <w:pPr>
        <w:numPr>
          <w:ilvl w:val="0"/>
          <w:numId w:val="9"/>
        </w:numPr>
      </w:pPr>
      <w:r w:rsidRPr="00745345">
        <w:t xml:space="preserve">Συνιστούμε να μην χρησιμοποιήσετε υπο-ενότητες με μεγαλύτερο βάθος από 4. </w:t>
      </w:r>
    </w:p>
    <w:p w:rsidR="00A04C72" w:rsidRPr="00745345" w:rsidRDefault="00A04C72">
      <w:pPr>
        <w:numPr>
          <w:ilvl w:val="0"/>
          <w:numId w:val="9"/>
        </w:numPr>
      </w:pPr>
      <w:r w:rsidRPr="00745345">
        <w:t xml:space="preserve">Το κείμενο είναι ΠΑΝΤΑ </w:t>
      </w:r>
      <w:r w:rsidRPr="00745345">
        <w:rPr>
          <w:lang w:val="en-US"/>
        </w:rPr>
        <w:t>normal</w:t>
      </w:r>
      <w:r w:rsidRPr="00745345">
        <w:t xml:space="preserve"> (</w:t>
      </w:r>
      <w:r w:rsidR="00745345">
        <w:rPr>
          <w:lang w:val="en-US"/>
        </w:rPr>
        <w:t>Cambria</w:t>
      </w:r>
      <w:r w:rsidRPr="00745345">
        <w:t xml:space="preserve"> 11).</w:t>
      </w:r>
    </w:p>
    <w:p w:rsidR="00A04C72" w:rsidRPr="00745345" w:rsidRDefault="00A04C72">
      <w:pPr>
        <w:numPr>
          <w:ilvl w:val="0"/>
          <w:numId w:val="9"/>
        </w:numPr>
        <w:rPr>
          <w:lang w:val="en-US"/>
        </w:rPr>
      </w:pPr>
      <w:r w:rsidRPr="00745345">
        <w:rPr>
          <w:lang w:val="en-US"/>
        </w:rPr>
        <w:t xml:space="preserve">To </w:t>
      </w:r>
      <w:r w:rsidRPr="00745345">
        <w:t>κείμενο</w:t>
      </w:r>
      <w:r w:rsidRPr="00745345">
        <w:rPr>
          <w:lang w:val="en-US"/>
        </w:rPr>
        <w:t xml:space="preserve"> </w:t>
      </w:r>
      <w:r w:rsidRPr="00745345">
        <w:t>με</w:t>
      </w:r>
      <w:r w:rsidRPr="00745345">
        <w:rPr>
          <w:lang w:val="en-US"/>
        </w:rPr>
        <w:t xml:space="preserve"> bullets </w:t>
      </w:r>
      <w:r w:rsidRPr="00745345">
        <w:t>είναι</w:t>
      </w:r>
      <w:r w:rsidRPr="00745345">
        <w:rPr>
          <w:lang w:val="en-US"/>
        </w:rPr>
        <w:t xml:space="preserve"> </w:t>
      </w:r>
      <w:r w:rsidRPr="00745345">
        <w:t>ΠΑΝΤΑ</w:t>
      </w:r>
      <w:r w:rsidRPr="00745345">
        <w:rPr>
          <w:lang w:val="en-US"/>
        </w:rPr>
        <w:t xml:space="preserve"> bullets</w:t>
      </w:r>
      <w:r w:rsidR="002C3897">
        <w:rPr>
          <w:lang w:val="en-US"/>
        </w:rPr>
        <w:t xml:space="preserve"> </w:t>
      </w:r>
      <w:r w:rsidR="002C3897">
        <w:t xml:space="preserve">τύπου </w:t>
      </w:r>
      <w:r w:rsidR="002C3897">
        <w:rPr>
          <w:lang w:val="en-US"/>
        </w:rPr>
        <w:t>“-“</w:t>
      </w:r>
      <w:r w:rsidR="005C33E4">
        <w:t xml:space="preserve"> </w:t>
      </w:r>
      <w:r w:rsidRPr="00745345">
        <w:rPr>
          <w:lang w:val="en-US"/>
        </w:rPr>
        <w:t>(</w:t>
      </w:r>
      <w:r w:rsidR="00745345">
        <w:rPr>
          <w:lang w:val="en-US"/>
        </w:rPr>
        <w:t>Cambria</w:t>
      </w:r>
      <w:r w:rsidRPr="00745345">
        <w:rPr>
          <w:lang w:val="en-US"/>
        </w:rPr>
        <w:t xml:space="preserve"> 11+bullets).</w:t>
      </w:r>
    </w:p>
    <w:p w:rsidR="00A04C72" w:rsidRPr="00745345" w:rsidRDefault="00A04C72">
      <w:pPr>
        <w:numPr>
          <w:ilvl w:val="0"/>
          <w:numId w:val="9"/>
        </w:numPr>
      </w:pPr>
      <w:r w:rsidRPr="00745345">
        <w:t xml:space="preserve">Ο κώδικας είναι ΠΑΝΤΑ </w:t>
      </w:r>
      <w:r w:rsidRPr="00745345">
        <w:rPr>
          <w:rFonts w:cs="Courier New"/>
          <w:sz w:val="20"/>
          <w:lang w:val="en-US"/>
        </w:rPr>
        <w:t>code</w:t>
      </w:r>
      <w:r w:rsidRPr="00745345">
        <w:t xml:space="preserve"> (</w:t>
      </w:r>
      <w:proofErr w:type="spellStart"/>
      <w:r w:rsidR="002C3897">
        <w:rPr>
          <w:lang w:val="en-US"/>
        </w:rPr>
        <w:t>consolas</w:t>
      </w:r>
      <w:proofErr w:type="spellEnd"/>
      <w:r w:rsidRPr="00745345">
        <w:t xml:space="preserve"> 10</w:t>
      </w:r>
      <w:r w:rsidR="002C3897">
        <w:rPr>
          <w:lang w:val="en-US"/>
        </w:rPr>
        <w:t xml:space="preserve"> </w:t>
      </w:r>
      <w:r w:rsidR="002C3897">
        <w:t>ή 9</w:t>
      </w:r>
      <w:r w:rsidRPr="00745345">
        <w:t>).</w:t>
      </w:r>
    </w:p>
    <w:p w:rsidR="00A04C72" w:rsidRPr="00745345" w:rsidRDefault="00A04C72">
      <w:pPr>
        <w:numPr>
          <w:ilvl w:val="0"/>
          <w:numId w:val="9"/>
        </w:numPr>
      </w:pPr>
      <w:r w:rsidRPr="00745345">
        <w:t xml:space="preserve">Οι λεζάντες στα σχήματα είναι ΠΑΝΤΑ </w:t>
      </w:r>
      <w:r w:rsidRPr="00745345">
        <w:rPr>
          <w:b/>
          <w:bCs/>
          <w:lang w:val="en-US"/>
        </w:rPr>
        <w:t>normal</w:t>
      </w:r>
      <w:r w:rsidRPr="00745345">
        <w:rPr>
          <w:b/>
          <w:bCs/>
        </w:rPr>
        <w:t xml:space="preserve"> </w:t>
      </w:r>
      <w:r w:rsidRPr="00745345">
        <w:rPr>
          <w:b/>
          <w:bCs/>
          <w:lang w:val="en-US"/>
        </w:rPr>
        <w:t>bold</w:t>
      </w:r>
      <w:r w:rsidRPr="00745345">
        <w:t xml:space="preserve"> (</w:t>
      </w:r>
      <w:r w:rsidR="00745345">
        <w:rPr>
          <w:lang w:val="en-US"/>
        </w:rPr>
        <w:t>Cambria</w:t>
      </w:r>
      <w:r w:rsidRPr="00745345">
        <w:t xml:space="preserve"> 11+</w:t>
      </w:r>
      <w:r w:rsidRPr="00745345">
        <w:rPr>
          <w:lang w:val="en-US"/>
        </w:rPr>
        <w:t>bold</w:t>
      </w:r>
      <w:r w:rsidRPr="00745345">
        <w:t>).</w:t>
      </w:r>
    </w:p>
    <w:p w:rsidR="00A04C72" w:rsidRPr="00745345" w:rsidRDefault="00A04C72">
      <w:pPr>
        <w:numPr>
          <w:ilvl w:val="0"/>
          <w:numId w:val="9"/>
        </w:numPr>
      </w:pPr>
      <w:r w:rsidRPr="00745345">
        <w:t xml:space="preserve">Ενδιάμεσα στις παραγράφους δεν αφήνουμε κενό. Ούτε βάζουμε </w:t>
      </w:r>
      <w:r w:rsidRPr="00745345">
        <w:rPr>
          <w:lang w:val="en-US"/>
        </w:rPr>
        <w:t>tab</w:t>
      </w:r>
      <w:r w:rsidRPr="00745345">
        <w:t xml:space="preserve"> στην αρχή κάθε παραγράφου.</w:t>
      </w:r>
    </w:p>
    <w:p w:rsidR="00311A05" w:rsidRPr="00745345" w:rsidRDefault="00A04C72">
      <w:pPr>
        <w:numPr>
          <w:ilvl w:val="0"/>
          <w:numId w:val="9"/>
        </w:numPr>
      </w:pPr>
      <w:r w:rsidRPr="00745345">
        <w:t xml:space="preserve">Τα περιεχόμενα γράφονται με </w:t>
      </w:r>
      <w:r w:rsidRPr="00745345">
        <w:rPr>
          <w:lang w:val="en-US"/>
        </w:rPr>
        <w:t>TOC</w:t>
      </w:r>
      <w:r w:rsidRPr="00745345">
        <w:t xml:space="preserve">1 μέχρι </w:t>
      </w:r>
      <w:r w:rsidRPr="00745345">
        <w:rPr>
          <w:lang w:val="en-US"/>
        </w:rPr>
        <w:t>TOC</w:t>
      </w:r>
      <w:r w:rsidRPr="00745345">
        <w:t>4. Κάνοντας δεξί κλικ στο πίνακα περιεχομένων που ήδη υπάρχει και επιλέγοντας “</w:t>
      </w:r>
      <w:r w:rsidRPr="00745345">
        <w:rPr>
          <w:lang w:val="en-US"/>
        </w:rPr>
        <w:t>update</w:t>
      </w:r>
      <w:r w:rsidRPr="00745345">
        <w:t xml:space="preserve"> </w:t>
      </w:r>
      <w:r w:rsidRPr="00745345">
        <w:rPr>
          <w:lang w:val="en-US"/>
        </w:rPr>
        <w:t>field</w:t>
      </w:r>
      <w:r w:rsidRPr="00745345">
        <w:t>”, ενημερώνετε τον πίνακα περιεχομένων.</w:t>
      </w:r>
    </w:p>
    <w:p w:rsidR="00A04C72" w:rsidRPr="00745345" w:rsidRDefault="00311A05">
      <w:pPr>
        <w:numPr>
          <w:ilvl w:val="0"/>
          <w:numId w:val="9"/>
        </w:numPr>
      </w:pPr>
      <w:r w:rsidRPr="00745345">
        <w:br w:type="page"/>
      </w:r>
      <w:r w:rsidR="00A04C72" w:rsidRPr="00745345">
        <w:lastRenderedPageBreak/>
        <w:t>Κανόνες για τη βιβλιογραφία (</w:t>
      </w:r>
      <w:r w:rsidR="00A04C72" w:rsidRPr="00745345">
        <w:rPr>
          <w:u w:val="single"/>
        </w:rPr>
        <w:t xml:space="preserve">η οποία είναι ταξινομημένη με βάση το </w:t>
      </w:r>
      <w:r w:rsidR="00A04C72" w:rsidRPr="00745345">
        <w:rPr>
          <w:u w:val="single"/>
          <w:lang w:val="en-US"/>
        </w:rPr>
        <w:t>abbreviation</w:t>
      </w:r>
      <w:r w:rsidR="00A04C72" w:rsidRPr="00745345">
        <w:t>):</w:t>
      </w:r>
    </w:p>
    <w:p w:rsidR="00A04C72" w:rsidRPr="00745345" w:rsidRDefault="00A04C72">
      <w:pPr>
        <w:numPr>
          <w:ilvl w:val="1"/>
          <w:numId w:val="9"/>
        </w:numPr>
      </w:pPr>
      <w:r w:rsidRPr="00745345">
        <w:rPr>
          <w:b/>
          <w:lang w:val="en-US"/>
        </w:rPr>
        <w:t>Abbreviation</w:t>
      </w:r>
      <w:r w:rsidRPr="00745345">
        <w:t xml:space="preserve">: </w:t>
      </w:r>
    </w:p>
    <w:p w:rsidR="00A04C72" w:rsidRPr="00745345" w:rsidRDefault="00A04C72">
      <w:pPr>
        <w:ind w:left="1080"/>
      </w:pPr>
      <w:r w:rsidRPr="00745345">
        <w:t>4 γράμματα + 2 ψηφία χρονολογίας δημοσίευσης.</w:t>
      </w:r>
    </w:p>
    <w:p w:rsidR="00A04C72" w:rsidRPr="00745345" w:rsidRDefault="00A04C72">
      <w:pPr>
        <w:numPr>
          <w:ilvl w:val="2"/>
          <w:numId w:val="10"/>
        </w:numPr>
      </w:pPr>
      <w:r w:rsidRPr="00745345">
        <w:t xml:space="preserve">1 συγγραφέας: τα </w:t>
      </w:r>
      <w:r w:rsidR="00311A05" w:rsidRPr="00745345">
        <w:t>4</w:t>
      </w:r>
      <w:r w:rsidRPr="00745345">
        <w:t xml:space="preserve"> πρώτα γράμματά του</w:t>
      </w:r>
      <w:r w:rsidR="00311A05" w:rsidRPr="00745345">
        <w:t xml:space="preserve">  (ή αν έχει λιγότερα, όσα έχει),</w:t>
      </w:r>
      <w:r w:rsidRPr="00745345">
        <w:t xml:space="preserve"> π.χ. [Dea</w:t>
      </w:r>
      <w:r w:rsidR="00311A05" w:rsidRPr="00745345">
        <w:t>n</w:t>
      </w:r>
      <w:r w:rsidRPr="00745345">
        <w:t>97], [</w:t>
      </w:r>
      <w:r w:rsidRPr="00745345">
        <w:rPr>
          <w:lang w:val="en-US"/>
        </w:rPr>
        <w:t>Orr</w:t>
      </w:r>
      <w:r w:rsidRPr="00745345">
        <w:t>98].</w:t>
      </w:r>
    </w:p>
    <w:p w:rsidR="00311A05" w:rsidRPr="00745345" w:rsidRDefault="00311A05">
      <w:pPr>
        <w:numPr>
          <w:ilvl w:val="2"/>
          <w:numId w:val="10"/>
        </w:numPr>
      </w:pPr>
      <w:r w:rsidRPr="00745345">
        <w:t>2 συγγραφείς: τα 2 πρώτα γράμματα του καθενός, π.χ. [JaVa97].</w:t>
      </w:r>
    </w:p>
    <w:p w:rsidR="00311A05" w:rsidRPr="00745345" w:rsidRDefault="00311A05">
      <w:pPr>
        <w:numPr>
          <w:ilvl w:val="2"/>
          <w:numId w:val="10"/>
        </w:numPr>
      </w:pPr>
      <w:r w:rsidRPr="00745345">
        <w:t>3 συγγραφείς: τα 2 πρώτα γράμματα του πρώτου και το πρώτο γράμμα των υπολοίπων, π.χ. [</w:t>
      </w:r>
      <w:proofErr w:type="spellStart"/>
      <w:r w:rsidRPr="00745345">
        <w:rPr>
          <w:lang w:val="en-US"/>
        </w:rPr>
        <w:t>BaCR</w:t>
      </w:r>
      <w:proofErr w:type="spellEnd"/>
      <w:r w:rsidRPr="00745345">
        <w:t>94].</w:t>
      </w:r>
    </w:p>
    <w:p w:rsidR="00A04C72" w:rsidRPr="00745345" w:rsidRDefault="00311A05">
      <w:pPr>
        <w:numPr>
          <w:ilvl w:val="2"/>
          <w:numId w:val="10"/>
        </w:numPr>
      </w:pPr>
      <w:r w:rsidRPr="00745345">
        <w:t xml:space="preserve">4 </w:t>
      </w:r>
      <w:r w:rsidR="00A04C72" w:rsidRPr="00745345">
        <w:t>συγγραφείς: Ο καθένας το αρχικό του</w:t>
      </w:r>
      <w:r w:rsidRPr="00745345">
        <w:t>,</w:t>
      </w:r>
      <w:r w:rsidR="00A04C72" w:rsidRPr="00745345">
        <w:t xml:space="preserve"> π.χ. [J</w:t>
      </w:r>
      <w:r w:rsidRPr="00745345">
        <w:rPr>
          <w:lang w:val="en-US"/>
        </w:rPr>
        <w:t>JQV</w:t>
      </w:r>
      <w:r w:rsidRPr="00745345">
        <w:t>98</w:t>
      </w:r>
      <w:r w:rsidR="00A04C72" w:rsidRPr="00745345">
        <w:t>].</w:t>
      </w:r>
    </w:p>
    <w:p w:rsidR="00A04C72" w:rsidRPr="00745345" w:rsidRDefault="00A04C72">
      <w:pPr>
        <w:numPr>
          <w:ilvl w:val="2"/>
          <w:numId w:val="10"/>
        </w:numPr>
      </w:pPr>
      <w:r w:rsidRPr="00745345">
        <w:t>&gt;4 συγγραφείς: Οι τρεις πρώτοι και ‘+’, π.χ. [BBC+99]</w:t>
      </w:r>
    </w:p>
    <w:p w:rsidR="00A04C72" w:rsidRPr="00745345" w:rsidRDefault="00A04C72">
      <w:pPr>
        <w:numPr>
          <w:ilvl w:val="1"/>
          <w:numId w:val="9"/>
        </w:numPr>
        <w:rPr>
          <w:b/>
        </w:rPr>
      </w:pPr>
      <w:r w:rsidRPr="00745345">
        <w:rPr>
          <w:b/>
        </w:rPr>
        <w:t xml:space="preserve">Περιγραφή: </w:t>
      </w:r>
    </w:p>
    <w:p w:rsidR="00A04C72" w:rsidRPr="00745345" w:rsidRDefault="00A04C72" w:rsidP="00DE7618">
      <w:pPr>
        <w:numPr>
          <w:ilvl w:val="2"/>
          <w:numId w:val="11"/>
        </w:numPr>
      </w:pPr>
      <w:r w:rsidRPr="00745345">
        <w:rPr>
          <w:b/>
        </w:rPr>
        <w:t xml:space="preserve">Άρθρο: </w:t>
      </w:r>
      <w:r w:rsidRPr="00745345">
        <w:t xml:space="preserve">Ονόματα συγγραφέων, τίτλος άρθρου, συνέδριο / περιοδικό, </w:t>
      </w:r>
      <w:r w:rsidRPr="00745345">
        <w:rPr>
          <w:lang w:val="en-US"/>
        </w:rPr>
        <w:t>volume</w:t>
      </w:r>
      <w:r w:rsidRPr="00745345">
        <w:t>(</w:t>
      </w:r>
      <w:r w:rsidRPr="00745345">
        <w:rPr>
          <w:lang w:val="en-US"/>
        </w:rPr>
        <w:t>no</w:t>
      </w:r>
      <w:r w:rsidRPr="00745345">
        <w:t xml:space="preserve">.), </w:t>
      </w:r>
      <w:r w:rsidR="00DE7618" w:rsidRPr="00745345">
        <w:t xml:space="preserve">σελίδες, </w:t>
      </w:r>
      <w:r w:rsidRPr="00745345">
        <w:t>ημερομηνία</w:t>
      </w:r>
    </w:p>
    <w:p w:rsidR="00A04C72" w:rsidRPr="00745345" w:rsidRDefault="00A04C72" w:rsidP="00DE7618">
      <w:pPr>
        <w:ind w:left="1980"/>
        <w:rPr>
          <w:lang w:val="en-GB"/>
        </w:rPr>
      </w:pPr>
      <w:r w:rsidRPr="00745345">
        <w:t>Παράδειγμα</w:t>
      </w:r>
      <w:r w:rsidRPr="00745345">
        <w:rPr>
          <w:lang w:val="en-GB"/>
        </w:rPr>
        <w:t xml:space="preserve">: </w:t>
      </w:r>
      <w:proofErr w:type="spellStart"/>
      <w:r w:rsidRPr="00745345">
        <w:rPr>
          <w:lang w:val="en-US"/>
        </w:rPr>
        <w:t>Dalamagas</w:t>
      </w:r>
      <w:proofErr w:type="spellEnd"/>
      <w:r w:rsidRPr="00745345">
        <w:rPr>
          <w:lang w:val="en-GB"/>
        </w:rPr>
        <w:t xml:space="preserve">, </w:t>
      </w:r>
      <w:r w:rsidRPr="00745345">
        <w:rPr>
          <w:lang w:val="en-US"/>
        </w:rPr>
        <w:t>T</w:t>
      </w:r>
      <w:r w:rsidRPr="00745345">
        <w:rPr>
          <w:lang w:val="en-GB"/>
        </w:rPr>
        <w:t xml:space="preserve">. </w:t>
      </w:r>
      <w:r w:rsidRPr="00745345">
        <w:rPr>
          <w:lang w:val="en-US"/>
        </w:rPr>
        <w:t>and</w:t>
      </w:r>
      <w:r w:rsidRPr="00745345">
        <w:rPr>
          <w:lang w:val="en-GB"/>
        </w:rPr>
        <w:t xml:space="preserve"> </w:t>
      </w:r>
      <w:proofErr w:type="spellStart"/>
      <w:r w:rsidRPr="00745345">
        <w:rPr>
          <w:lang w:val="en-US"/>
        </w:rPr>
        <w:t>Skiadopoulos</w:t>
      </w:r>
      <w:proofErr w:type="spellEnd"/>
      <w:r w:rsidRPr="00745345">
        <w:rPr>
          <w:lang w:val="en-GB"/>
        </w:rPr>
        <w:t xml:space="preserve">, </w:t>
      </w:r>
      <w:r w:rsidRPr="00745345">
        <w:rPr>
          <w:lang w:val="en-US"/>
        </w:rPr>
        <w:t>S</w:t>
      </w:r>
      <w:r w:rsidRPr="00745345">
        <w:rPr>
          <w:lang w:val="en-GB"/>
        </w:rPr>
        <w:t xml:space="preserve">., </w:t>
      </w:r>
      <w:r w:rsidRPr="00745345">
        <w:rPr>
          <w:lang w:val="en-US"/>
        </w:rPr>
        <w:t>The</w:t>
      </w:r>
      <w:r w:rsidRPr="00745345">
        <w:rPr>
          <w:lang w:val="en-GB"/>
        </w:rPr>
        <w:t xml:space="preserve"> </w:t>
      </w:r>
      <w:r w:rsidRPr="00745345">
        <w:rPr>
          <w:lang w:val="en-US"/>
        </w:rPr>
        <w:t>Art</w:t>
      </w:r>
      <w:r w:rsidRPr="00745345">
        <w:rPr>
          <w:lang w:val="en-GB"/>
        </w:rPr>
        <w:t xml:space="preserve"> </w:t>
      </w:r>
      <w:r w:rsidRPr="00745345">
        <w:rPr>
          <w:lang w:val="en-US"/>
        </w:rPr>
        <w:t>of</w:t>
      </w:r>
      <w:r w:rsidRPr="00745345">
        <w:rPr>
          <w:lang w:val="en-GB"/>
        </w:rPr>
        <w:t xml:space="preserve"> </w:t>
      </w:r>
      <w:r w:rsidRPr="00745345">
        <w:rPr>
          <w:lang w:val="en-US"/>
        </w:rPr>
        <w:t>Writing</w:t>
      </w:r>
      <w:r w:rsidRPr="00745345">
        <w:rPr>
          <w:lang w:val="en-GB"/>
        </w:rPr>
        <w:t xml:space="preserve">, </w:t>
      </w:r>
      <w:r w:rsidRPr="00745345">
        <w:rPr>
          <w:lang w:val="en-US"/>
        </w:rPr>
        <w:t>Journal</w:t>
      </w:r>
      <w:r w:rsidRPr="00745345">
        <w:rPr>
          <w:lang w:val="en-GB"/>
        </w:rPr>
        <w:t xml:space="preserve"> </w:t>
      </w:r>
      <w:r w:rsidRPr="00745345">
        <w:rPr>
          <w:lang w:val="en-US"/>
        </w:rPr>
        <w:t>of</w:t>
      </w:r>
      <w:r w:rsidRPr="00745345">
        <w:rPr>
          <w:lang w:val="en-GB"/>
        </w:rPr>
        <w:t xml:space="preserve"> </w:t>
      </w:r>
      <w:r w:rsidRPr="00745345">
        <w:rPr>
          <w:lang w:val="en-US"/>
        </w:rPr>
        <w:t>Writing</w:t>
      </w:r>
      <w:r w:rsidRPr="00745345">
        <w:rPr>
          <w:lang w:val="en-GB"/>
        </w:rPr>
        <w:t xml:space="preserve">, 15 (2), </w:t>
      </w:r>
      <w:r w:rsidR="00DE7618" w:rsidRPr="00745345">
        <w:rPr>
          <w:lang w:val="en-US"/>
        </w:rPr>
        <w:t xml:space="preserve">pp. 12-28, </w:t>
      </w:r>
      <w:r w:rsidRPr="00745345">
        <w:rPr>
          <w:lang w:val="en-US"/>
        </w:rPr>
        <w:t>June</w:t>
      </w:r>
      <w:r w:rsidRPr="00745345">
        <w:rPr>
          <w:lang w:val="en-GB"/>
        </w:rPr>
        <w:t xml:space="preserve"> 2001.</w:t>
      </w:r>
    </w:p>
    <w:p w:rsidR="00A04C72" w:rsidRPr="00745345" w:rsidRDefault="00A04C72">
      <w:pPr>
        <w:numPr>
          <w:ilvl w:val="2"/>
          <w:numId w:val="11"/>
        </w:numPr>
      </w:pPr>
      <w:r w:rsidRPr="00745345">
        <w:rPr>
          <w:b/>
        </w:rPr>
        <w:t>Βιβλίο:</w:t>
      </w:r>
      <w:r w:rsidRPr="00745345">
        <w:t xml:space="preserve"> Ονόματα συγγραφέων, τίτλος, εκδοτικός οίκος, ημερομηνία.</w:t>
      </w:r>
    </w:p>
    <w:p w:rsidR="00A04C72" w:rsidRPr="00745345" w:rsidRDefault="00A04C72">
      <w:pPr>
        <w:ind w:left="1980"/>
        <w:rPr>
          <w:lang w:val="en-US"/>
        </w:rPr>
      </w:pPr>
      <w:r w:rsidRPr="00745345">
        <w:t>Παράδειγμα</w:t>
      </w:r>
      <w:r w:rsidRPr="00745345">
        <w:rPr>
          <w:lang w:val="en-US"/>
        </w:rPr>
        <w:t xml:space="preserve">: </w:t>
      </w:r>
      <w:proofErr w:type="spellStart"/>
      <w:r w:rsidRPr="00745345">
        <w:rPr>
          <w:lang w:val="en-US"/>
        </w:rPr>
        <w:t>Dalamagas</w:t>
      </w:r>
      <w:proofErr w:type="spellEnd"/>
      <w:r w:rsidRPr="00745345">
        <w:rPr>
          <w:lang w:val="en-US"/>
        </w:rPr>
        <w:t xml:space="preserve">, T. and </w:t>
      </w:r>
      <w:proofErr w:type="spellStart"/>
      <w:r w:rsidRPr="00745345">
        <w:rPr>
          <w:lang w:val="en-US"/>
        </w:rPr>
        <w:t>Skiadopoulos</w:t>
      </w:r>
      <w:proofErr w:type="spellEnd"/>
      <w:r w:rsidRPr="00745345">
        <w:rPr>
          <w:lang w:val="en-US"/>
        </w:rPr>
        <w:t>, S., The Art of Writing, Good Publishers, June 2001.</w:t>
      </w:r>
    </w:p>
    <w:p w:rsidR="00A04C72" w:rsidRPr="00745345" w:rsidRDefault="00A04C72">
      <w:pPr>
        <w:numPr>
          <w:ilvl w:val="1"/>
          <w:numId w:val="9"/>
        </w:numPr>
      </w:pPr>
      <w:r w:rsidRPr="00745345">
        <w:t xml:space="preserve">Οτιδήποτε βρέθηκε από το </w:t>
      </w:r>
      <w:r w:rsidRPr="00745345">
        <w:rPr>
          <w:lang w:val="en-US"/>
        </w:rPr>
        <w:t>Web</w:t>
      </w:r>
      <w:r w:rsidRPr="00745345">
        <w:t xml:space="preserve">, δίνουμε και το </w:t>
      </w:r>
      <w:r w:rsidRPr="00745345">
        <w:rPr>
          <w:lang w:val="en-US"/>
        </w:rPr>
        <w:t>URL</w:t>
      </w:r>
      <w:r w:rsidRPr="00745345">
        <w:t>. Αν η ημερομηνία συγγραφής δεν είναι σαφής, δίνουμε την ημερομηνία που το διαβάσαμε.</w:t>
      </w:r>
    </w:p>
    <w:p w:rsidR="00311A05" w:rsidRPr="00745345" w:rsidRDefault="00311A05" w:rsidP="00DE7618">
      <w:pPr>
        <w:spacing w:before="0" w:after="0"/>
        <w:ind w:left="720"/>
      </w:pP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7654"/>
      </w:tblGrid>
      <w:tr w:rsidR="00DE7618" w:rsidRPr="00745345" w:rsidTr="002C389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E7618" w:rsidRPr="00745345" w:rsidRDefault="00DE7618" w:rsidP="00DE7618">
            <w:r w:rsidRPr="00745345">
              <w:t>[BB</w:t>
            </w:r>
            <w:r w:rsidRPr="00745345">
              <w:rPr>
                <w:lang w:val="en-US"/>
              </w:rPr>
              <w:t>C</w:t>
            </w:r>
            <w:r w:rsidRPr="00745345">
              <w:t>+99]</w:t>
            </w:r>
          </w:p>
          <w:p w:rsidR="00DE7618" w:rsidRPr="00745345" w:rsidRDefault="00DE7618" w:rsidP="00DE7618">
            <w:pPr>
              <w:rPr>
                <w:b/>
              </w:rPr>
            </w:pPr>
          </w:p>
        </w:tc>
        <w:tc>
          <w:tcPr>
            <w:tcW w:w="7654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>P</w:t>
            </w:r>
            <w:r w:rsidRPr="00745345">
              <w:t>.</w:t>
            </w:r>
            <w:r w:rsidRPr="00745345">
              <w:rPr>
                <w:lang w:val="en-US"/>
              </w:rPr>
              <w:t>A</w:t>
            </w:r>
            <w:r w:rsidRPr="00745345">
              <w:t xml:space="preserve">. </w:t>
            </w:r>
            <w:r w:rsidRPr="00745345">
              <w:rPr>
                <w:lang w:val="en-US"/>
              </w:rPr>
              <w:t>Bernstein</w:t>
            </w:r>
            <w:r w:rsidRPr="00745345">
              <w:t xml:space="preserve">, </w:t>
            </w:r>
            <w:r w:rsidRPr="00745345">
              <w:rPr>
                <w:lang w:val="en-US"/>
              </w:rPr>
              <w:t>T</w:t>
            </w:r>
            <w:r w:rsidRPr="00745345">
              <w:t xml:space="preserve">. </w:t>
            </w:r>
            <w:proofErr w:type="spellStart"/>
            <w:r w:rsidRPr="00745345">
              <w:rPr>
                <w:lang w:val="en-US"/>
              </w:rPr>
              <w:t>Bergstraesser</w:t>
            </w:r>
            <w:proofErr w:type="spellEnd"/>
            <w:r w:rsidRPr="00745345">
              <w:t xml:space="preserve">, </w:t>
            </w:r>
            <w:r w:rsidRPr="00745345">
              <w:rPr>
                <w:lang w:val="en-US"/>
              </w:rPr>
              <w:t>J</w:t>
            </w:r>
            <w:r w:rsidRPr="00745345">
              <w:t xml:space="preserve">. </w:t>
            </w:r>
            <w:r w:rsidRPr="00745345">
              <w:rPr>
                <w:lang w:val="en-US"/>
              </w:rPr>
              <w:t>Carlson</w:t>
            </w:r>
            <w:r w:rsidRPr="00745345">
              <w:t xml:space="preserve">, </w:t>
            </w:r>
            <w:r w:rsidRPr="00745345">
              <w:rPr>
                <w:lang w:val="en-US"/>
              </w:rPr>
              <w:t>S</w:t>
            </w:r>
            <w:r w:rsidRPr="00745345">
              <w:t xml:space="preserve">. </w:t>
            </w:r>
            <w:r w:rsidRPr="00745345">
              <w:rPr>
                <w:lang w:val="en-US"/>
              </w:rPr>
              <w:t>Pal</w:t>
            </w:r>
            <w:r w:rsidRPr="00745345">
              <w:t xml:space="preserve">, </w:t>
            </w:r>
            <w:r w:rsidRPr="00745345">
              <w:rPr>
                <w:lang w:val="en-US"/>
              </w:rPr>
              <w:t>P</w:t>
            </w:r>
            <w:r w:rsidRPr="00745345">
              <w:t xml:space="preserve">. </w:t>
            </w:r>
            <w:r w:rsidRPr="00745345">
              <w:rPr>
                <w:lang w:val="en-US"/>
              </w:rPr>
              <w:t>Sanders</w:t>
            </w:r>
            <w:r w:rsidRPr="00745345">
              <w:t xml:space="preserve">, </w:t>
            </w:r>
            <w:r w:rsidRPr="00745345">
              <w:rPr>
                <w:lang w:val="en-US"/>
              </w:rPr>
              <w:t>D</w:t>
            </w:r>
            <w:r w:rsidRPr="00745345">
              <w:t xml:space="preserve">. </w:t>
            </w:r>
            <w:proofErr w:type="spellStart"/>
            <w:r w:rsidRPr="00745345">
              <w:rPr>
                <w:lang w:val="en-US"/>
              </w:rPr>
              <w:t>Shutt</w:t>
            </w:r>
            <w:proofErr w:type="spellEnd"/>
            <w:r w:rsidRPr="00745345">
              <w:t xml:space="preserve">. </w:t>
            </w:r>
            <w:r w:rsidRPr="00745345">
              <w:rPr>
                <w:lang w:val="en-US"/>
              </w:rPr>
              <w:t>Microsoft</w:t>
            </w:r>
            <w:r w:rsidRPr="00745345">
              <w:t xml:space="preserve"> </w:t>
            </w:r>
            <w:r w:rsidRPr="00745345">
              <w:rPr>
                <w:lang w:val="en-US"/>
              </w:rPr>
              <w:t>Repository</w:t>
            </w:r>
            <w:r w:rsidRPr="00745345">
              <w:t xml:space="preserve"> </w:t>
            </w:r>
            <w:r w:rsidRPr="00745345">
              <w:rPr>
                <w:lang w:val="en-US"/>
              </w:rPr>
              <w:t>Version</w:t>
            </w:r>
            <w:r w:rsidRPr="00745345">
              <w:t xml:space="preserve"> 2 </w:t>
            </w:r>
            <w:r w:rsidRPr="00745345">
              <w:rPr>
                <w:lang w:val="en-US"/>
              </w:rPr>
              <w:t>and</w:t>
            </w:r>
            <w:r w:rsidRPr="00745345">
              <w:t xml:space="preserve"> </w:t>
            </w:r>
            <w:r w:rsidRPr="00745345">
              <w:rPr>
                <w:lang w:val="en-US"/>
              </w:rPr>
              <w:t>the</w:t>
            </w:r>
            <w:r w:rsidRPr="00745345">
              <w:t xml:space="preserve"> </w:t>
            </w:r>
            <w:r w:rsidRPr="00745345">
              <w:rPr>
                <w:lang w:val="en-US"/>
              </w:rPr>
              <w:t>Open</w:t>
            </w:r>
            <w:r w:rsidRPr="00745345">
              <w:t xml:space="preserve"> </w:t>
            </w:r>
            <w:r w:rsidRPr="00745345">
              <w:rPr>
                <w:lang w:val="en-US"/>
              </w:rPr>
              <w:t>Information</w:t>
            </w:r>
            <w:r w:rsidRPr="00745345">
              <w:t xml:space="preserve"> </w:t>
            </w:r>
            <w:r w:rsidRPr="00745345">
              <w:rPr>
                <w:lang w:val="en-US"/>
              </w:rPr>
              <w:t>Model</w:t>
            </w:r>
            <w:r w:rsidRPr="00745345">
              <w:t xml:space="preserve">. </w:t>
            </w:r>
            <w:r w:rsidRPr="00745345">
              <w:rPr>
                <w:lang w:val="en-US"/>
              </w:rPr>
              <w:t xml:space="preserve">Information Systems 24(2), pp. </w:t>
            </w:r>
            <w:r w:rsidRPr="00745345">
              <w:t>71-98</w:t>
            </w:r>
            <w:r w:rsidRPr="00745345">
              <w:rPr>
                <w:lang w:val="en-US"/>
              </w:rPr>
              <w:t>,</w:t>
            </w:r>
            <w:r w:rsidRPr="00745345">
              <w:t xml:space="preserve"> </w:t>
            </w:r>
            <w:r w:rsidRPr="00745345">
              <w:rPr>
                <w:lang w:val="en-US"/>
              </w:rPr>
              <w:t>1999.</w:t>
            </w:r>
          </w:p>
        </w:tc>
      </w:tr>
      <w:tr w:rsidR="00DE7618" w:rsidRPr="00745345" w:rsidTr="002C389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>[BaCR94]</w:t>
            </w:r>
          </w:p>
        </w:tc>
        <w:tc>
          <w:tcPr>
            <w:tcW w:w="7654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 xml:space="preserve">V.R. </w:t>
            </w:r>
            <w:proofErr w:type="spellStart"/>
            <w:r w:rsidRPr="00745345">
              <w:rPr>
                <w:lang w:val="en-US"/>
              </w:rPr>
              <w:t>Basili</w:t>
            </w:r>
            <w:proofErr w:type="spellEnd"/>
            <w:r w:rsidRPr="00745345">
              <w:rPr>
                <w:lang w:val="en-US"/>
              </w:rPr>
              <w:t xml:space="preserve">, </w:t>
            </w:r>
            <w:proofErr w:type="spellStart"/>
            <w:r w:rsidRPr="00745345">
              <w:rPr>
                <w:lang w:val="en-US"/>
              </w:rPr>
              <w:t>G.Caldiera</w:t>
            </w:r>
            <w:proofErr w:type="spellEnd"/>
            <w:r w:rsidRPr="00745345">
              <w:rPr>
                <w:lang w:val="en-US"/>
              </w:rPr>
              <w:t xml:space="preserve">, H.D. </w:t>
            </w:r>
            <w:proofErr w:type="spellStart"/>
            <w:r w:rsidRPr="00745345">
              <w:rPr>
                <w:lang w:val="en-US"/>
              </w:rPr>
              <w:t>Rombach</w:t>
            </w:r>
            <w:proofErr w:type="spellEnd"/>
            <w:r w:rsidRPr="00745345">
              <w:rPr>
                <w:lang w:val="en-US"/>
              </w:rPr>
              <w:t>. The Goal Question Metric Approach. Encyclopedia of Software Engineering, pp. 528-532, John Wiley &amp; Sons, Inc, 1994. Also available at http://www.cs.umd.edu/users/basili/papers.html</w:t>
            </w:r>
          </w:p>
        </w:tc>
      </w:tr>
      <w:tr w:rsidR="00DE7618" w:rsidRPr="00745345" w:rsidTr="002C389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>[Dean97]</w:t>
            </w:r>
          </w:p>
        </w:tc>
        <w:tc>
          <w:tcPr>
            <w:tcW w:w="7654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>E.B. Dean</w:t>
            </w:r>
            <w:r w:rsidRPr="00745345">
              <w:rPr>
                <w:lang w:val="en-GB"/>
              </w:rPr>
              <w:t>.</w:t>
            </w:r>
            <w:r w:rsidRPr="00745345">
              <w:rPr>
                <w:lang w:val="en-US"/>
              </w:rPr>
              <w:t xml:space="preserve"> Quality Functional Deployment from the Perspective of Competitive Advantage</w:t>
            </w:r>
            <w:r w:rsidRPr="00745345">
              <w:rPr>
                <w:lang w:val="en-GB"/>
              </w:rPr>
              <w:t>.</w:t>
            </w:r>
            <w:r w:rsidRPr="00745345">
              <w:rPr>
                <w:lang w:val="en-US"/>
              </w:rPr>
              <w:t xml:space="preserve"> Available at http://mijuno.larc.nasa.gov/dfc/qfd.html</w:t>
            </w:r>
          </w:p>
        </w:tc>
      </w:tr>
      <w:tr w:rsidR="00DE7618" w:rsidRPr="00745345" w:rsidTr="002C3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>[JJQV98]</w:t>
            </w:r>
          </w:p>
        </w:tc>
        <w:tc>
          <w:tcPr>
            <w:tcW w:w="7654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 xml:space="preserve">M. </w:t>
            </w:r>
            <w:proofErr w:type="spellStart"/>
            <w:r w:rsidRPr="00745345">
              <w:rPr>
                <w:lang w:val="en-US"/>
              </w:rPr>
              <w:t>Jarke</w:t>
            </w:r>
            <w:proofErr w:type="spellEnd"/>
            <w:r w:rsidRPr="00745345">
              <w:rPr>
                <w:lang w:val="en-US"/>
              </w:rPr>
              <w:t>, M.A.</w:t>
            </w:r>
            <w:r w:rsidRPr="00745345">
              <w:rPr>
                <w:lang w:val="en-GB"/>
              </w:rPr>
              <w:t xml:space="preserve"> </w:t>
            </w:r>
            <w:proofErr w:type="spellStart"/>
            <w:r w:rsidRPr="00745345">
              <w:rPr>
                <w:lang w:val="en-US"/>
              </w:rPr>
              <w:t>Jeusfeld</w:t>
            </w:r>
            <w:proofErr w:type="spellEnd"/>
            <w:r w:rsidRPr="00745345">
              <w:rPr>
                <w:lang w:val="en-US"/>
              </w:rPr>
              <w:t xml:space="preserve">, C. </w:t>
            </w:r>
            <w:proofErr w:type="spellStart"/>
            <w:r w:rsidRPr="00745345">
              <w:rPr>
                <w:lang w:val="en-US"/>
              </w:rPr>
              <w:t>Quix</w:t>
            </w:r>
            <w:proofErr w:type="spellEnd"/>
            <w:r w:rsidRPr="00745345">
              <w:rPr>
                <w:lang w:val="en-US"/>
              </w:rPr>
              <w:t>, P. Vassiliadis. Architecture and quality in data warehouses. In Proc. 10</w:t>
            </w:r>
            <w:r w:rsidRPr="00745345">
              <w:rPr>
                <w:vertAlign w:val="superscript"/>
                <w:lang w:val="en-US"/>
              </w:rPr>
              <w:t>th</w:t>
            </w:r>
            <w:r w:rsidRPr="00745345">
              <w:rPr>
                <w:lang w:val="en-US"/>
              </w:rPr>
              <w:t xml:space="preserve"> Conference on Advanced Information Systems Engineering (</w:t>
            </w:r>
            <w:proofErr w:type="spellStart"/>
            <w:r w:rsidRPr="00745345">
              <w:rPr>
                <w:lang w:val="en-US"/>
              </w:rPr>
              <w:t>CAiSE</w:t>
            </w:r>
            <w:proofErr w:type="spellEnd"/>
            <w:r w:rsidRPr="00745345">
              <w:rPr>
                <w:lang w:val="en-US"/>
              </w:rPr>
              <w:t xml:space="preserve"> '98), pp. 93-113, </w:t>
            </w:r>
            <w:smartTag w:uri="urn:schemas-microsoft-com:office:smarttags" w:element="place">
              <w:smartTag w:uri="urn:schemas-microsoft-com:office:smarttags" w:element="City">
                <w:r w:rsidRPr="00745345">
                  <w:rPr>
                    <w:lang w:val="en-US"/>
                  </w:rPr>
                  <w:t>Pisa</w:t>
                </w:r>
              </w:smartTag>
              <w:r w:rsidRPr="00745345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745345">
                  <w:rPr>
                    <w:lang w:val="en-US"/>
                  </w:rPr>
                  <w:t>Italy</w:t>
                </w:r>
              </w:smartTag>
            </w:smartTag>
            <w:r w:rsidRPr="00745345">
              <w:rPr>
                <w:lang w:val="en-US"/>
              </w:rPr>
              <w:t>, June 1998.</w:t>
            </w:r>
          </w:p>
        </w:tc>
      </w:tr>
      <w:tr w:rsidR="00DE7618" w:rsidRPr="00745345" w:rsidTr="002C389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>[JaVa97]</w:t>
            </w:r>
          </w:p>
          <w:p w:rsidR="00DE7618" w:rsidRPr="00745345" w:rsidRDefault="00DE7618" w:rsidP="00DE7618">
            <w:pPr>
              <w:rPr>
                <w:b/>
                <w:lang w:val="en-US"/>
              </w:rPr>
            </w:pPr>
          </w:p>
        </w:tc>
        <w:tc>
          <w:tcPr>
            <w:tcW w:w="7654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 xml:space="preserve">M. </w:t>
            </w:r>
            <w:proofErr w:type="spellStart"/>
            <w:r w:rsidRPr="00745345">
              <w:rPr>
                <w:lang w:val="en-US"/>
              </w:rPr>
              <w:t>Jarke</w:t>
            </w:r>
            <w:proofErr w:type="spellEnd"/>
            <w:r w:rsidRPr="00745345">
              <w:rPr>
                <w:lang w:val="en-US"/>
              </w:rPr>
              <w:t xml:space="preserve">, Y. </w:t>
            </w:r>
            <w:proofErr w:type="spellStart"/>
            <w:r w:rsidRPr="00745345">
              <w:rPr>
                <w:lang w:val="en-US"/>
              </w:rPr>
              <w:t>Vassiliou</w:t>
            </w:r>
            <w:proofErr w:type="spellEnd"/>
            <w:r w:rsidRPr="00745345">
              <w:rPr>
                <w:lang w:val="en-US"/>
              </w:rPr>
              <w:t>. Foundations of data warehouse quality – a review of the DWQ project. In Proc. 2</w:t>
            </w:r>
            <w:r w:rsidRPr="00745345">
              <w:rPr>
                <w:vertAlign w:val="superscript"/>
                <w:lang w:val="en-US"/>
              </w:rPr>
              <w:t>nd</w:t>
            </w:r>
            <w:r w:rsidRPr="00745345">
              <w:rPr>
                <w:lang w:val="en-US"/>
              </w:rPr>
              <w:t xml:space="preserve"> Intl. Conference Information Quality (IQ-97), pp. </w:t>
            </w:r>
            <w:r w:rsidRPr="00745345">
              <w:rPr>
                <w:lang w:val="en-GB"/>
              </w:rPr>
              <w:t xml:space="preserve">299-313, </w:t>
            </w:r>
            <w:smartTag w:uri="urn:schemas-microsoft-com:office:smarttags" w:element="place">
              <w:smartTag w:uri="urn:schemas-microsoft-com:office:smarttags" w:element="City">
                <w:r w:rsidRPr="00745345">
                  <w:rPr>
                    <w:lang w:val="en-US"/>
                  </w:rPr>
                  <w:t>Cambridge</w:t>
                </w:r>
              </w:smartTag>
              <w:r w:rsidRPr="00745345">
                <w:rPr>
                  <w:lang w:val="en-US"/>
                </w:rPr>
                <w:t xml:space="preserve">, </w:t>
              </w:r>
              <w:smartTag w:uri="urn:schemas-microsoft-com:office:smarttags" w:element="State">
                <w:r w:rsidRPr="00745345">
                  <w:rPr>
                    <w:lang w:val="en-US"/>
                  </w:rPr>
                  <w:t>Mass.</w:t>
                </w:r>
              </w:smartTag>
              <w:r w:rsidRPr="00745345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745345">
                  <w:rPr>
                    <w:lang w:val="en-US"/>
                  </w:rPr>
                  <w:t>USA</w:t>
                </w:r>
              </w:smartTag>
            </w:smartTag>
            <w:r w:rsidRPr="00745345">
              <w:rPr>
                <w:lang w:val="en-US"/>
              </w:rPr>
              <w:t>, June 1997.</w:t>
            </w:r>
          </w:p>
        </w:tc>
      </w:tr>
      <w:tr w:rsidR="00DE7618" w:rsidRPr="00745345" w:rsidTr="002C389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>[Orr98]</w:t>
            </w:r>
          </w:p>
        </w:tc>
        <w:tc>
          <w:tcPr>
            <w:tcW w:w="7654" w:type="dxa"/>
          </w:tcPr>
          <w:p w:rsidR="00DE7618" w:rsidRPr="00745345" w:rsidRDefault="00DE7618" w:rsidP="00DE7618">
            <w:pPr>
              <w:rPr>
                <w:lang w:val="en-US"/>
              </w:rPr>
            </w:pPr>
            <w:r w:rsidRPr="00745345">
              <w:rPr>
                <w:lang w:val="en-US"/>
              </w:rPr>
              <w:t>K. Orr. Data quality and systems theory. In Communications of the ACM, 41(2), pp. 54-57, Feb. 1998.</w:t>
            </w:r>
          </w:p>
        </w:tc>
      </w:tr>
    </w:tbl>
    <w:p w:rsidR="00DE7618" w:rsidRPr="00745345" w:rsidRDefault="00DE7618" w:rsidP="00DE7618">
      <w:pPr>
        <w:rPr>
          <w:lang w:val="en-US"/>
        </w:rPr>
      </w:pPr>
    </w:p>
    <w:sectPr w:rsidR="00DE7618" w:rsidRPr="00745345">
      <w:footerReference w:type="even" r:id="rId7"/>
      <w:footerReference w:type="default" r:id="rId8"/>
      <w:pgSz w:w="11907" w:h="16840" w:code="9"/>
      <w:pgMar w:top="1440" w:right="1418" w:bottom="1440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B4" w:rsidRDefault="006218B4">
      <w:pPr>
        <w:spacing w:before="0" w:after="0"/>
      </w:pPr>
      <w:r>
        <w:separator/>
      </w:r>
    </w:p>
  </w:endnote>
  <w:endnote w:type="continuationSeparator" w:id="0">
    <w:p w:rsidR="006218B4" w:rsidRDefault="006218B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HellasArial">
    <w:charset w:val="00"/>
    <w:family w:val="swiss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72" w:rsidRDefault="00A04C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C72" w:rsidRDefault="00A04C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72" w:rsidRDefault="00A04C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3E4">
      <w:rPr>
        <w:rStyle w:val="PageNumber"/>
        <w:noProof/>
      </w:rPr>
      <w:t>2</w:t>
    </w:r>
    <w:r>
      <w:rPr>
        <w:rStyle w:val="PageNumber"/>
      </w:rPr>
      <w:fldChar w:fldCharType="end"/>
    </w:r>
  </w:p>
  <w:p w:rsidR="00A04C72" w:rsidRDefault="00A04C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B4" w:rsidRDefault="006218B4">
      <w:pPr>
        <w:spacing w:before="0" w:after="0"/>
      </w:pPr>
      <w:r>
        <w:separator/>
      </w:r>
    </w:p>
  </w:footnote>
  <w:footnote w:type="continuationSeparator" w:id="0">
    <w:p w:rsidR="006218B4" w:rsidRDefault="006218B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466184"/>
    <w:multiLevelType w:val="singleLevel"/>
    <w:tmpl w:val="C81C7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6323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51421E"/>
    <w:multiLevelType w:val="multilevel"/>
    <w:tmpl w:val="3CC6E55E"/>
    <w:lvl w:ilvl="0">
      <w:start w:val="1"/>
      <w:numFmt w:val="decimal"/>
      <w:lvlText w:val="%1"/>
      <w:lvlJc w:val="left"/>
      <w:pPr>
        <w:tabs>
          <w:tab w:val="num" w:pos="4082"/>
        </w:tabs>
        <w:ind w:left="4082" w:hanging="4082"/>
      </w:pPr>
      <w:rPr>
        <w:b/>
        <w:i w:val="0"/>
        <w:sz w:val="1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F36F71"/>
    <w:multiLevelType w:val="hybridMultilevel"/>
    <w:tmpl w:val="E1A65B2E"/>
    <w:lvl w:ilvl="0" w:tplc="643231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46CB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EF44E3"/>
    <w:multiLevelType w:val="hybridMultilevel"/>
    <w:tmpl w:val="0B96C322"/>
    <w:lvl w:ilvl="0" w:tplc="CFC2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138CB"/>
    <w:multiLevelType w:val="hybridMultilevel"/>
    <w:tmpl w:val="F064B5AC"/>
    <w:lvl w:ilvl="0" w:tplc="CFC2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717C9"/>
    <w:multiLevelType w:val="hybridMultilevel"/>
    <w:tmpl w:val="754423B0"/>
    <w:lvl w:ilvl="0" w:tplc="8DC2E8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D0F70"/>
    <w:multiLevelType w:val="hybridMultilevel"/>
    <w:tmpl w:val="EEB08DDE"/>
    <w:lvl w:ilvl="0" w:tplc="0506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BE57E7"/>
    <w:multiLevelType w:val="hybridMultilevel"/>
    <w:tmpl w:val="933041D8"/>
    <w:lvl w:ilvl="0" w:tplc="8DC2E8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E74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2212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13A49E0"/>
    <w:multiLevelType w:val="hybridMultilevel"/>
    <w:tmpl w:val="EEB08DDE"/>
    <w:lvl w:ilvl="0" w:tplc="0506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01A1C">
      <w:start w:val="1"/>
      <w:numFmt w:val="bullet"/>
      <w:lvlText w:val="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A67227"/>
    <w:multiLevelType w:val="hybridMultilevel"/>
    <w:tmpl w:val="401CC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E7014C"/>
    <w:multiLevelType w:val="hybridMultilevel"/>
    <w:tmpl w:val="EEB08DDE"/>
    <w:lvl w:ilvl="0" w:tplc="0506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01A1C">
      <w:start w:val="1"/>
      <w:numFmt w:val="bullet"/>
      <w:lvlText w:val="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975255"/>
    <w:multiLevelType w:val="hybridMultilevel"/>
    <w:tmpl w:val="8EC6E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A2D68"/>
    <w:multiLevelType w:val="singleLevel"/>
    <w:tmpl w:val="11B010AE"/>
    <w:lvl w:ilvl="0">
      <w:start w:val="1"/>
      <w:numFmt w:val="bullet"/>
      <w:pStyle w:val="bullets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9" w:hanging="283"/>
        </w:pPr>
        <w:rPr>
          <w:rFonts w:ascii="Courier" w:hAnsi="Courier" w:hint="default"/>
        </w:rPr>
      </w:lvl>
    </w:lvlOverride>
  </w:num>
  <w:num w:numId="7">
    <w:abstractNumId w:val="17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4"/>
  </w:num>
  <w:num w:numId="15">
    <w:abstractNumId w:val="6"/>
  </w:num>
  <w:num w:numId="16">
    <w:abstractNumId w:val="10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4B"/>
    <w:rsid w:val="0017735F"/>
    <w:rsid w:val="001D4051"/>
    <w:rsid w:val="00201043"/>
    <w:rsid w:val="00274E4B"/>
    <w:rsid w:val="002C3897"/>
    <w:rsid w:val="00311A05"/>
    <w:rsid w:val="00321CB8"/>
    <w:rsid w:val="004519BA"/>
    <w:rsid w:val="004B3C89"/>
    <w:rsid w:val="004B797A"/>
    <w:rsid w:val="004E5910"/>
    <w:rsid w:val="005B2153"/>
    <w:rsid w:val="005C33E4"/>
    <w:rsid w:val="005F3FCF"/>
    <w:rsid w:val="006218B4"/>
    <w:rsid w:val="006D42F0"/>
    <w:rsid w:val="00711FFD"/>
    <w:rsid w:val="00745345"/>
    <w:rsid w:val="009406EB"/>
    <w:rsid w:val="00A04C72"/>
    <w:rsid w:val="00A825A3"/>
    <w:rsid w:val="00B06AF7"/>
    <w:rsid w:val="00DE7618"/>
    <w:rsid w:val="00E22C43"/>
    <w:rsid w:val="00F72EED"/>
    <w:rsid w:val="00F8672B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45"/>
    <w:pPr>
      <w:spacing w:before="60" w:after="60"/>
      <w:jc w:val="both"/>
    </w:pPr>
    <w:rPr>
      <w:rFonts w:ascii="Cambria" w:hAnsi="Cambria"/>
      <w:sz w:val="22"/>
      <w:lang w:eastAsia="en-US"/>
    </w:rPr>
  </w:style>
  <w:style w:type="paragraph" w:styleId="Heading1">
    <w:name w:val="heading 1"/>
    <w:next w:val="Normal"/>
    <w:qFormat/>
    <w:rsid w:val="00745345"/>
    <w:pPr>
      <w:keepNext/>
      <w:spacing w:before="400" w:after="200" w:line="360" w:lineRule="auto"/>
      <w:ind w:right="-51"/>
      <w:outlineLvl w:val="0"/>
    </w:pPr>
    <w:rPr>
      <w:rFonts w:asciiTheme="majorHAnsi" w:hAnsiTheme="majorHAnsi"/>
      <w:b/>
      <w:kern w:val="28"/>
      <w:sz w:val="28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  <w:numId w:val="8"/>
      </w:numPr>
      <w:spacing w:before="120" w:after="60" w:line="240" w:lineRule="auto"/>
      <w:ind w:left="578" w:right="0" w:hanging="578"/>
      <w:outlineLvl w:val="1"/>
    </w:pPr>
    <w:rPr>
      <w:i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pBdr>
        <w:bottom w:val="single" w:sz="6" w:space="1" w:color="auto"/>
      </w:pBdr>
      <w:tabs>
        <w:tab w:val="center" w:pos="4153"/>
        <w:tab w:val="right" w:pos="8306"/>
      </w:tabs>
    </w:pPr>
    <w:rPr>
      <w:rFonts w:ascii="HellasTimes" w:hAnsi="HellasTimes"/>
      <w:lang w:val="en-GB" w:eastAsia="en-U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lang w:val="en-GB"/>
    </w:rPr>
  </w:style>
  <w:style w:type="paragraph" w:styleId="Title">
    <w:name w:val="Title"/>
    <w:basedOn w:val="Normal"/>
    <w:qFormat/>
    <w:rsid w:val="00745345"/>
    <w:pPr>
      <w:pageBreakBefore/>
      <w:spacing w:before="840" w:after="240" w:line="360" w:lineRule="auto"/>
      <w:jc w:val="center"/>
    </w:pPr>
    <w:rPr>
      <w:b/>
      <w:sz w:val="3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b/>
    </w:rPr>
  </w:style>
  <w:style w:type="paragraph" w:styleId="TOC2">
    <w:name w:val="toc 2"/>
    <w:basedOn w:val="Normal"/>
    <w:next w:val="Normal"/>
    <w:autoRedefine/>
    <w:semiHidden/>
    <w:pPr>
      <w:ind w:left="200"/>
      <w:jc w:val="left"/>
    </w:pPr>
  </w:style>
  <w:style w:type="paragraph" w:styleId="TOC3">
    <w:name w:val="toc 3"/>
    <w:basedOn w:val="Normal"/>
    <w:next w:val="Normal"/>
    <w:autoRedefine/>
    <w:semiHidden/>
    <w:pPr>
      <w:ind w:left="400"/>
      <w:jc w:val="left"/>
    </w:pPr>
    <w:rPr>
      <w:i/>
    </w:rPr>
  </w:style>
  <w:style w:type="paragraph" w:styleId="TOC4">
    <w:name w:val="toc 4"/>
    <w:basedOn w:val="Normal"/>
    <w:next w:val="Normal"/>
    <w:autoRedefine/>
    <w:semiHidden/>
    <w:pPr>
      <w:ind w:left="600"/>
      <w:jc w:val="left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800"/>
      <w:jc w:val="left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000"/>
      <w:jc w:val="left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200"/>
      <w:jc w:val="left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400"/>
      <w:jc w:val="left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600"/>
      <w:jc w:val="left"/>
    </w:pPr>
    <w:rPr>
      <w:sz w:val="18"/>
    </w:rPr>
  </w:style>
  <w:style w:type="paragraph" w:customStyle="1" w:styleId="code">
    <w:name w:val="code"/>
    <w:basedOn w:val="Normal"/>
    <w:pPr>
      <w:spacing w:before="20" w:after="20"/>
      <w:ind w:left="289" w:right="272"/>
      <w:jc w:val="left"/>
    </w:pPr>
    <w:rPr>
      <w:rFonts w:ascii="Courier New" w:hAnsi="Courier New"/>
      <w:noProof/>
    </w:rPr>
  </w:style>
  <w:style w:type="paragraph" w:customStyle="1" w:styleId="bullets">
    <w:name w:val="bullets"/>
    <w:basedOn w:val="Normal"/>
    <w:pPr>
      <w:numPr>
        <w:numId w:val="7"/>
      </w:numPr>
    </w:pPr>
  </w:style>
  <w:style w:type="paragraph" w:styleId="Subtitle">
    <w:name w:val="Subtitle"/>
    <w:basedOn w:val="Normal"/>
    <w:qFormat/>
    <w:rsid w:val="002C3897"/>
    <w:rPr>
      <w:bCs/>
      <w:i/>
      <w:sz w:val="28"/>
    </w:rPr>
  </w:style>
  <w:style w:type="paragraph" w:styleId="BodyText">
    <w:name w:val="Body Text"/>
    <w:basedOn w:val="Normal"/>
    <w:pPr>
      <w:jc w:val="center"/>
    </w:pPr>
    <w:rPr>
      <w:sz w:val="32"/>
    </w:rPr>
  </w:style>
  <w:style w:type="paragraph" w:customStyle="1" w:styleId="CompanyName">
    <w:name w:val="CompanyName"/>
    <w:basedOn w:val="Normal"/>
    <w:pPr>
      <w:spacing w:before="0" w:after="0"/>
      <w:jc w:val="left"/>
    </w:pPr>
    <w:rPr>
      <w:rFonts w:ascii="HellasArial" w:hAnsi="HellasArial"/>
      <w:b/>
      <w:sz w:val="28"/>
      <w:lang w:val="en-US"/>
    </w:rPr>
  </w:style>
  <w:style w:type="table" w:styleId="TableGrid">
    <w:name w:val="Table Grid"/>
    <w:basedOn w:val="TableNormal"/>
    <w:uiPriority w:val="59"/>
    <w:rsid w:val="00201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Στην οικογένειά μου</vt:lpstr>
    </vt:vector>
  </TitlesOfParts>
  <Company>KDBSL - NTUA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Στην οικογένειά μου</dc:title>
  <dc:creator>Sotirchos Stavros</dc:creator>
  <cp:lastModifiedBy>p.v.</cp:lastModifiedBy>
  <cp:revision>5</cp:revision>
  <cp:lastPrinted>2002-09-19T11:12:00Z</cp:lastPrinted>
  <dcterms:created xsi:type="dcterms:W3CDTF">2014-01-13T15:18:00Z</dcterms:created>
  <dcterms:modified xsi:type="dcterms:W3CDTF">2014-01-13T15:21:00Z</dcterms:modified>
</cp:coreProperties>
</file>